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29B79" w14:textId="77777777" w:rsidR="002336E2" w:rsidRDefault="00000000">
      <w:pPr>
        <w:spacing w:after="80" w:line="276" w:lineRule="auto"/>
        <w:jc w:val="center"/>
      </w:pPr>
      <w:r>
        <w:rPr>
          <w:b/>
          <w:sz w:val="34"/>
          <w:szCs w:val="34"/>
        </w:rPr>
        <w:t>Публичная оферта №1</w:t>
      </w:r>
    </w:p>
    <w:p w14:paraId="75A33D75" w14:textId="77777777" w:rsidR="002336E2" w:rsidRDefault="00000000">
      <w:pPr>
        <w:spacing w:after="60" w:line="276" w:lineRule="auto"/>
        <w:jc w:val="center"/>
      </w:pPr>
      <w:r>
        <w:rPr>
          <w:i/>
          <w:color w:val="555555"/>
          <w:sz w:val="22"/>
          <w:szCs w:val="22"/>
        </w:rPr>
        <w:t>договор возмездного оказания услуг по организации досугового мероприятия и предоставлению инвентаря во временное пользование</w:t>
      </w:r>
    </w:p>
    <w:p w14:paraId="12799CCE" w14:textId="77777777" w:rsidR="002336E2" w:rsidRDefault="00000000">
      <w:pPr>
        <w:spacing w:after="200" w:line="276" w:lineRule="auto"/>
        <w:jc w:val="center"/>
      </w:pPr>
      <w:r>
        <w:rPr>
          <w:color w:val="555555"/>
          <w:sz w:val="20"/>
          <w:szCs w:val="20"/>
        </w:rPr>
        <w:t xml:space="preserve">Клуб: </w:t>
      </w:r>
      <w:r>
        <w:rPr>
          <w:b/>
          <w:color w:val="555555"/>
          <w:sz w:val="20"/>
          <w:szCs w:val="20"/>
        </w:rPr>
        <w:t>Покерный Клуб №1</w:t>
      </w:r>
      <w:r>
        <w:rPr>
          <w:color w:val="555555"/>
          <w:sz w:val="20"/>
          <w:szCs w:val="20"/>
        </w:rPr>
        <w:t xml:space="preserve"> · редакция от 29.06.2026</w:t>
      </w:r>
    </w:p>
    <w:p w14:paraId="5E814282" w14:textId="77777777" w:rsidR="002336E2" w:rsidRDefault="00000000">
      <w:pPr>
        <w:spacing w:after="120" w:line="276" w:lineRule="auto"/>
      </w:pPr>
      <w:r>
        <w:rPr>
          <w:b/>
          <w:sz w:val="22"/>
          <w:szCs w:val="22"/>
        </w:rPr>
        <w:t>ООО «Парадизо 100»</w:t>
      </w:r>
      <w:r>
        <w:rPr>
          <w:sz w:val="22"/>
          <w:szCs w:val="22"/>
        </w:rPr>
        <w:t>, ОГРН 1227700239293, ИНН 7733383526 (далее — «Исполнитель») предлагает дееспособным лицам старше 18 лет (далее — «Участник») заключить договор на условиях настоящей оферты (ст. 437, 438 ГК РФ).</w:t>
      </w:r>
    </w:p>
    <w:p w14:paraId="1FE14D7F" w14:textId="77777777" w:rsidR="002336E2" w:rsidRDefault="00000000">
      <w:pPr>
        <w:spacing w:before="240" w:after="100" w:line="276" w:lineRule="auto"/>
      </w:pPr>
      <w:r>
        <w:rPr>
          <w:b/>
          <w:sz w:val="26"/>
          <w:szCs w:val="26"/>
        </w:rPr>
        <w:t>1. Акцепт и допуск</w:t>
      </w:r>
    </w:p>
    <w:p w14:paraId="2166B391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>1.1. До начала участия Участнику предоставляются для ознакомления настоящая Оферта и Правила проведения мероприятия (Регламент).</w:t>
      </w:r>
    </w:p>
    <w:p w14:paraId="7C037E84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>1.2. Акцепт Оферты осуществляется путем личной подписи Участника в регистрационном журнале / журнале инструктажа на месте проведения мероприятия. С момента подписи договор считается заключенным.</w:t>
      </w:r>
    </w:p>
    <w:p w14:paraId="2D197AAD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>1.3. К участию допускаются лица 18+. При сомнениях Исполнитель вправе запросить документ и отказать в допуске при непредоставлении.</w:t>
      </w:r>
    </w:p>
    <w:p w14:paraId="458407E7" w14:textId="77777777" w:rsidR="002336E2" w:rsidRDefault="00000000">
      <w:pPr>
        <w:spacing w:before="240" w:after="100" w:line="276" w:lineRule="auto"/>
      </w:pPr>
      <w:r>
        <w:rPr>
          <w:b/>
          <w:sz w:val="26"/>
          <w:szCs w:val="26"/>
        </w:rPr>
        <w:t>2. Предмет</w:t>
      </w:r>
    </w:p>
    <w:p w14:paraId="75300693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 xml:space="preserve">2.1. Исполнитель оказывает услуги по организации досугового мероприятия и предоставляет Участнику во временное пользование инвентарь, необходимый для формата (место/стол, карты, фишки/жетоны и </w:t>
      </w:r>
      <w:proofErr w:type="gramStart"/>
      <w:r>
        <w:rPr>
          <w:sz w:val="22"/>
          <w:szCs w:val="22"/>
        </w:rPr>
        <w:t>т.п.</w:t>
      </w:r>
      <w:proofErr w:type="gramEnd"/>
      <w:r>
        <w:rPr>
          <w:sz w:val="22"/>
          <w:szCs w:val="22"/>
        </w:rPr>
        <w:t>) на период мероприятия.</w:t>
      </w:r>
    </w:p>
    <w:p w14:paraId="4E79378D" w14:textId="77777777" w:rsidR="002336E2" w:rsidRDefault="00000000">
      <w:pPr>
        <w:spacing w:after="120" w:line="276" w:lineRule="auto"/>
      </w:pPr>
      <w:r>
        <w:rPr>
          <w:b/>
          <w:sz w:val="22"/>
          <w:szCs w:val="22"/>
        </w:rPr>
        <w:t xml:space="preserve">2.2. Мероприятие проводится строго в развлекательных целях и строго не на деньги: призовые фонды не формируются, </w:t>
      </w:r>
      <w:proofErr w:type="spellStart"/>
      <w:r>
        <w:rPr>
          <w:b/>
          <w:sz w:val="22"/>
          <w:szCs w:val="22"/>
        </w:rPr>
        <w:t>рейк</w:t>
      </w:r>
      <w:proofErr w:type="spellEnd"/>
      <w:r>
        <w:rPr>
          <w:b/>
          <w:sz w:val="22"/>
          <w:szCs w:val="22"/>
        </w:rPr>
        <w:t xml:space="preserve"> не взимается, денежные выигрыши не выплачиваются, обмен фишек/жетонов на деньги/товары/услуги не осуществляется. Фишки/жетоны условные и не имеют денежной/товарной ценности.</w:t>
      </w:r>
    </w:p>
    <w:p w14:paraId="1B5509B2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>2.3. Запрещены ставки, пари, денежные расчеты между Участниками и сборы «в банк».</w:t>
      </w:r>
    </w:p>
    <w:p w14:paraId="2861B39A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>2.4. Мероприятие носит интеллектуально-состязательный характер: Участники соревнуются между собой на равных условиях, результат зависит от их навыков, опыта и решений. Исполнитель не является участником игры, не играет против Участников, не делает ставок и не имеет имущественного интереса в результате игры между ними. Стоимость аренды инвентаря и места проведения фиксированная и не зависит от результата (п. 3.2). Тем самым совокупность признаков азартной игры по Федеральному закону от 29.12.2006 № 244-ФЗ — основанное на риске соглашение о выигрыше, ставка и выигрыш — отсутствует.</w:t>
      </w:r>
    </w:p>
    <w:p w14:paraId="4733EECA" w14:textId="77777777" w:rsidR="002336E2" w:rsidRDefault="00000000">
      <w:pPr>
        <w:spacing w:before="240" w:after="100" w:line="276" w:lineRule="auto"/>
      </w:pPr>
      <w:r>
        <w:rPr>
          <w:b/>
          <w:sz w:val="26"/>
          <w:szCs w:val="26"/>
        </w:rPr>
        <w:t>3. Стоимость и оплата</w:t>
      </w:r>
    </w:p>
    <w:p w14:paraId="2E5C9F0A" w14:textId="6E77815D" w:rsidR="002336E2" w:rsidRDefault="00000000">
      <w:pPr>
        <w:spacing w:after="120" w:line="276" w:lineRule="auto"/>
      </w:pPr>
      <w:r>
        <w:rPr>
          <w:sz w:val="22"/>
          <w:szCs w:val="22"/>
        </w:rPr>
        <w:t xml:space="preserve">3.1. Стоимость аренды инвентаря и места проведения: </w:t>
      </w:r>
      <w:r w:rsidR="004D7D9D">
        <w:rPr>
          <w:sz w:val="22"/>
          <w:szCs w:val="22"/>
        </w:rPr>
        <w:t xml:space="preserve">2000 </w:t>
      </w:r>
      <w:r>
        <w:rPr>
          <w:sz w:val="22"/>
          <w:szCs w:val="22"/>
        </w:rPr>
        <w:t>(</w:t>
      </w:r>
      <w:r w:rsidR="004D7D9D">
        <w:rPr>
          <w:sz w:val="22"/>
          <w:szCs w:val="22"/>
        </w:rPr>
        <w:t xml:space="preserve">две </w:t>
      </w:r>
      <w:r>
        <w:rPr>
          <w:sz w:val="22"/>
          <w:szCs w:val="22"/>
        </w:rPr>
        <w:t>тысяч</w:t>
      </w:r>
      <w:r w:rsidR="004D7D9D">
        <w:rPr>
          <w:sz w:val="22"/>
          <w:szCs w:val="22"/>
        </w:rPr>
        <w:t>и</w:t>
      </w:r>
      <w:r>
        <w:rPr>
          <w:sz w:val="22"/>
          <w:szCs w:val="22"/>
        </w:rPr>
        <w:t>) рублей за период мероприятия, если иное не указано в анонсе конкретного мероприятия.</w:t>
      </w:r>
    </w:p>
    <w:p w14:paraId="324E0C70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>3.2. Оплата является платой за аренду инвентаря и места проведения, а также за оказание услуг Исполнителя по организации мероприятия, и не зависит от результатов участия.</w:t>
      </w:r>
    </w:p>
    <w:p w14:paraId="773FFB4D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>3.3. Оплата производится способом, указанным Исполнителем. Подтверждение оплаты предоставляется в предусмотренной законом форме.</w:t>
      </w:r>
    </w:p>
    <w:p w14:paraId="6C98B846" w14:textId="77777777" w:rsidR="002336E2" w:rsidRDefault="00000000">
      <w:pPr>
        <w:spacing w:before="240" w:after="100" w:line="276" w:lineRule="auto"/>
      </w:pPr>
      <w:r>
        <w:rPr>
          <w:b/>
          <w:sz w:val="26"/>
          <w:szCs w:val="26"/>
        </w:rPr>
        <w:lastRenderedPageBreak/>
        <w:t>4. Регламент</w:t>
      </w:r>
    </w:p>
    <w:p w14:paraId="39E246A6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>4.1. Регламент является неотъемлемой частью договора, доводится до Участника до начала участия и доступен на месте проведения мероприятия.</w:t>
      </w:r>
    </w:p>
    <w:p w14:paraId="38BD1377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>4.2. Исполнитель вправе отказать в допуске или прекратить участие при нарушении Регламента, угрозе безопасности, грубом поведении либо сильном алкогольном опьянении.</w:t>
      </w:r>
    </w:p>
    <w:p w14:paraId="48A088CF" w14:textId="77777777" w:rsidR="002336E2" w:rsidRDefault="00000000">
      <w:pPr>
        <w:spacing w:before="240" w:after="100" w:line="276" w:lineRule="auto"/>
      </w:pPr>
      <w:r>
        <w:rPr>
          <w:b/>
          <w:sz w:val="26"/>
          <w:szCs w:val="26"/>
        </w:rPr>
        <w:t>5. Отказ от услуги</w:t>
      </w:r>
    </w:p>
    <w:p w14:paraId="51AD391A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>5.1. Вопросы отказа от услуги и возврата оплаты (при наличии оснований) регулируются действующим законодательством РФ.</w:t>
      </w:r>
    </w:p>
    <w:p w14:paraId="7D74745B" w14:textId="77777777" w:rsidR="002336E2" w:rsidRDefault="00000000">
      <w:pPr>
        <w:spacing w:before="240" w:after="100" w:line="276" w:lineRule="auto"/>
      </w:pPr>
      <w:r>
        <w:rPr>
          <w:b/>
          <w:sz w:val="26"/>
          <w:szCs w:val="26"/>
        </w:rPr>
        <w:t>6. Персональные данные</w:t>
      </w:r>
    </w:p>
    <w:p w14:paraId="77A0C60F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>6.1. Исполнитель обрабатывает персональные данные Участника только в минимально необходимом объеме для заключения и исполнения настоящего договора и соблюдения требований закона.</w:t>
      </w:r>
    </w:p>
    <w:p w14:paraId="6DDB2927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>6.2. Минимальный объем данных может включать: ФИО и подпись (в регистрационном журнале / журнале инструктажа), а также контакт для связи при необходимости.</w:t>
      </w:r>
    </w:p>
    <w:p w14:paraId="0BC6B92E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>6.3. Исполнитель не публикует ФИО Участника. Для внутренней статистики может использоваться никнейм/имя без раскрытия иных данных.</w:t>
      </w:r>
    </w:p>
    <w:p w14:paraId="61BABE80" w14:textId="77777777" w:rsidR="002336E2" w:rsidRDefault="00000000">
      <w:pPr>
        <w:spacing w:after="120" w:line="276" w:lineRule="auto"/>
      </w:pPr>
      <w:r>
        <w:rPr>
          <w:sz w:val="22"/>
          <w:szCs w:val="22"/>
        </w:rPr>
        <w:t>6.4. Исполнитель не осуществляет обработку персональных данных Участника в целях рекламы / маркетинговых рассылок без отдельного согласия Участника.</w:t>
      </w:r>
    </w:p>
    <w:p w14:paraId="542B1575" w14:textId="77777777" w:rsidR="002336E2" w:rsidRDefault="00000000">
      <w:pPr>
        <w:spacing w:before="240" w:after="100" w:line="276" w:lineRule="auto"/>
      </w:pPr>
      <w:r>
        <w:rPr>
          <w:b/>
          <w:sz w:val="26"/>
          <w:szCs w:val="26"/>
        </w:rPr>
        <w:t>7. Реквизиты и контакты</w:t>
      </w:r>
    </w:p>
    <w:p w14:paraId="13E304FF" w14:textId="77777777" w:rsidR="002336E2" w:rsidRDefault="00000000">
      <w:pPr>
        <w:spacing w:after="40" w:line="276" w:lineRule="auto"/>
      </w:pPr>
      <w:r>
        <w:rPr>
          <w:b/>
          <w:sz w:val="22"/>
          <w:szCs w:val="22"/>
        </w:rPr>
        <w:t xml:space="preserve">Исполнитель: </w:t>
      </w:r>
      <w:r>
        <w:rPr>
          <w:sz w:val="22"/>
          <w:szCs w:val="22"/>
        </w:rPr>
        <w:t>ООО «Парадизо 100»</w:t>
      </w:r>
    </w:p>
    <w:p w14:paraId="074355CD" w14:textId="77777777" w:rsidR="002336E2" w:rsidRDefault="00000000">
      <w:pPr>
        <w:spacing w:after="40" w:line="276" w:lineRule="auto"/>
      </w:pPr>
      <w:r>
        <w:rPr>
          <w:b/>
          <w:sz w:val="22"/>
          <w:szCs w:val="22"/>
        </w:rPr>
        <w:t xml:space="preserve">ОГРН: </w:t>
      </w:r>
      <w:r>
        <w:rPr>
          <w:sz w:val="22"/>
          <w:szCs w:val="22"/>
        </w:rPr>
        <w:t>1227700239293</w:t>
      </w:r>
    </w:p>
    <w:p w14:paraId="3D3F3E90" w14:textId="77777777" w:rsidR="002336E2" w:rsidRDefault="00000000">
      <w:pPr>
        <w:spacing w:after="40" w:line="276" w:lineRule="auto"/>
      </w:pPr>
      <w:r>
        <w:rPr>
          <w:b/>
          <w:sz w:val="22"/>
          <w:szCs w:val="22"/>
        </w:rPr>
        <w:t xml:space="preserve">ИНН: </w:t>
      </w:r>
      <w:r>
        <w:rPr>
          <w:sz w:val="22"/>
          <w:szCs w:val="22"/>
        </w:rPr>
        <w:t>7733383526</w:t>
      </w:r>
    </w:p>
    <w:p w14:paraId="3E4FF0C8" w14:textId="77777777" w:rsidR="002336E2" w:rsidRDefault="00000000">
      <w:pPr>
        <w:spacing w:after="40" w:line="276" w:lineRule="auto"/>
      </w:pPr>
      <w:r>
        <w:rPr>
          <w:b/>
          <w:sz w:val="22"/>
          <w:szCs w:val="22"/>
        </w:rPr>
        <w:t xml:space="preserve">Адрес: </w:t>
      </w:r>
      <w:r>
        <w:rPr>
          <w:sz w:val="22"/>
          <w:szCs w:val="22"/>
        </w:rPr>
        <w:t xml:space="preserve">125222, г. Москва, </w:t>
      </w:r>
      <w:proofErr w:type="spellStart"/>
      <w:r>
        <w:rPr>
          <w:sz w:val="22"/>
          <w:szCs w:val="22"/>
        </w:rPr>
        <w:t>вн.тер.г</w:t>
      </w:r>
      <w:proofErr w:type="spellEnd"/>
      <w:r>
        <w:rPr>
          <w:sz w:val="22"/>
          <w:szCs w:val="22"/>
        </w:rPr>
        <w:t>. муниципальный округ Митино, ул. Генерала Белобородова, д. 16, кв. 60</w:t>
      </w:r>
    </w:p>
    <w:p w14:paraId="1BD4F3A9" w14:textId="77777777" w:rsidR="002336E2" w:rsidRPr="004D7D9D" w:rsidRDefault="00000000">
      <w:pPr>
        <w:spacing w:after="40" w:line="276" w:lineRule="auto"/>
        <w:rPr>
          <w:lang w:val="en-US"/>
        </w:rPr>
      </w:pPr>
      <w:r w:rsidRPr="004D7D9D">
        <w:rPr>
          <w:b/>
          <w:sz w:val="22"/>
          <w:szCs w:val="22"/>
          <w:lang w:val="en-US"/>
        </w:rPr>
        <w:t xml:space="preserve">E-mail: </w:t>
      </w:r>
      <w:r w:rsidRPr="004D7D9D">
        <w:rPr>
          <w:sz w:val="22"/>
          <w:szCs w:val="22"/>
          <w:lang w:val="en-US"/>
        </w:rPr>
        <w:t>bk1_kivcentr@bk.ru</w:t>
      </w:r>
    </w:p>
    <w:p w14:paraId="53946D6A" w14:textId="77777777" w:rsidR="002336E2" w:rsidRDefault="00000000">
      <w:pPr>
        <w:spacing w:after="40" w:line="276" w:lineRule="auto"/>
      </w:pPr>
      <w:r>
        <w:rPr>
          <w:b/>
          <w:sz w:val="22"/>
          <w:szCs w:val="22"/>
        </w:rPr>
        <w:t xml:space="preserve">Официальный канал: </w:t>
      </w:r>
      <w:r>
        <w:rPr>
          <w:sz w:val="22"/>
          <w:szCs w:val="22"/>
        </w:rPr>
        <w:t>https://telegram.me/PokerClubMsc</w:t>
      </w:r>
    </w:p>
    <w:p w14:paraId="00365F3E" w14:textId="77777777" w:rsidR="002336E2" w:rsidRDefault="00000000">
      <w:pPr>
        <w:spacing w:before="240" w:after="120" w:line="276" w:lineRule="auto"/>
        <w:jc w:val="center"/>
      </w:pPr>
      <w:r>
        <w:rPr>
          <w:color w:val="888888"/>
          <w:sz w:val="18"/>
          <w:szCs w:val="18"/>
        </w:rPr>
        <w:t>Покерный Клуб №1 · Публичная оферта №1 · редакция от 29.06.2026</w:t>
      </w:r>
    </w:p>
    <w:sectPr w:rsidR="002336E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6E2"/>
    <w:rsid w:val="002336E2"/>
    <w:rsid w:val="004D7D9D"/>
    <w:rsid w:val="0077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9ED77E"/>
  <w15:docId w15:val="{49099F2D-455E-454E-A149-C5E3B8AA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 Office</cp:lastModifiedBy>
  <cp:revision>2</cp:revision>
  <dcterms:created xsi:type="dcterms:W3CDTF">2026-07-16T14:56:00Z</dcterms:created>
  <dcterms:modified xsi:type="dcterms:W3CDTF">2026-07-16T14:56:00Z</dcterms:modified>
</cp:coreProperties>
</file>